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r w:rsidRPr="00677430">
        <w:rPr>
          <w:rFonts w:ascii="Calibri" w:hAnsi="Calibri"/>
          <w:sz w:val="24"/>
          <w:szCs w:val="24"/>
        </w:rPr>
        <w:t xml:space="preserve">Lgs.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ai numeri 2, 3, 4,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22 giugno 2007, n. 109 e successive modificazioni;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4 marzo 2014, n. 24;</w:t>
      </w:r>
    </w:p>
    <w:p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(2)</w:t>
      </w:r>
      <w:r w:rsidRPr="00677430">
        <w:rPr>
          <w:rFonts w:ascii="Calibri" w:hAnsi="Calibri"/>
        </w:rPr>
        <w:t xml:space="preserve">____________________________________________________________________________ </w:t>
      </w:r>
      <w:r>
        <w:rPr>
          <w:rFonts w:ascii="Calibri" w:hAnsi="Calibri"/>
        </w:rPr>
        <w:t xml:space="preserve">    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>di essere a piena e diretta conoscenza 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 xml:space="preserve">nsussistenza, ai sensi dell’art. 80, comma 2, D. Lgs. 50/2016, delle cause di decadenza, di sospensione o di divieto previste dall’articolo 67 del D.Lgs. 6 settembre 2011, n. 159 o di un tentativo di infiltrazione mafiosa di cui all’articolo 84, comma 4, del medesimo decreto per i soggetti sopraindicati ai numeri  3 e  5; </w:t>
      </w:r>
    </w:p>
    <w:p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>di non aver commesso, ai sensi dell’art. 80, comma 4, D.Lgs. 50/2016, violazioni gravi, definitivamente accertate, rispetto agli obblighi relativi al pagamento delle imposte e tasse o i contributi previdenziali, secondo la legislazione italiana o quella dello Stato in cui sono stabiliti;</w:t>
      </w:r>
    </w:p>
    <w:p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>di non incorrere in nessuna delle cause di esclusione dalle procedure di affidamento di appalti pubblici di cui all’art. 80, comma 5, D.Lgs. 50/2016, e in particolare: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comma 3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quanto previsto dall’articolo 110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condanna al risarcimento del danno </w:t>
      </w:r>
      <w:r w:rsidRPr="0045572E">
        <w:rPr>
          <w:rFonts w:ascii="Calibri" w:hAnsi="Calibri" w:cs="Helvetica"/>
          <w:sz w:val="24"/>
          <w:szCs w:val="24"/>
        </w:rPr>
        <w:lastRenderedPageBreak/>
        <w:t>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interesse ai sensi dell’articolo 42, comma 2, D.Lgs.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5, lettera e),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stato soggetto alla sanzione interdittiva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provvedimenti interdittivi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che, nel caso di avvenuta violazione del divieto di intestazione fiduciaria posto  dall’art.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Codice Civile con alcun soggetto e di aver formulato l’offerta autonomamente </w:t>
      </w:r>
    </w:p>
    <w:p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lastRenderedPageBreak/>
        <w:t>ovvero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Lgs. 165/2001 e s.m.i.,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Lgs.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INOLTRE:</w:t>
      </w:r>
    </w:p>
    <w:p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>di impegnarsi ad adempiere, in caso di aggiudicazione, a tutti gli obblighi di tracciabilità dei flussi finanziari di cui all’art. 3 della L. n. 136 del 13/08/2010 e successive modifiche;</w:t>
      </w:r>
    </w:p>
    <w:p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>ione dei  lavoratori dipendenti;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Dlgs. 50/2016 a mezzo PEC all’indirizzo comunicato nella istanza di partecipazione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>aver preso visione delle condizioni indicate nella lettera di invito e di accettarle espressamente e incondizionatamente</w:t>
      </w: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F7" w:rsidRDefault="002C5EF7">
      <w:r>
        <w:separator/>
      </w:r>
    </w:p>
  </w:endnote>
  <w:endnote w:type="continuationSeparator" w:id="0">
    <w:p w:rsidR="002C5EF7" w:rsidRDefault="002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C4C">
      <w:rPr>
        <w:noProof/>
      </w:rPr>
      <w:t>4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F7" w:rsidRDefault="002C5EF7">
      <w:r>
        <w:separator/>
      </w:r>
    </w:p>
  </w:footnote>
  <w:footnote w:type="continuationSeparator" w:id="0">
    <w:p w:rsidR="002C5EF7" w:rsidRDefault="002C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C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5EF7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A4C8C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1D54B7-3287-4F29-A7C0-C86D92F2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\Desktop\SITI%20ISTITUZIONALI\CHIODI\PON\8\Dichiarazione-requisiti-Allegato-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Dichiarazione-requisiti-Allegato-B.dotx</Template>
  <TotalTime>2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sabrina manini</dc:creator>
  <cp:lastModifiedBy>sabrina manini</cp:lastModifiedBy>
  <cp:revision>1</cp:revision>
  <cp:lastPrinted>2016-07-15T08:29:00Z</cp:lastPrinted>
  <dcterms:created xsi:type="dcterms:W3CDTF">2023-11-23T17:30:00Z</dcterms:created>
  <dcterms:modified xsi:type="dcterms:W3CDTF">2023-11-23T17:32:00Z</dcterms:modified>
</cp:coreProperties>
</file>